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822DB" w14:textId="6DA4F596" w:rsidR="00BF3B78" w:rsidRPr="0049755C" w:rsidRDefault="00BF3B78" w:rsidP="00BF3B78">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WG2 #101bis</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Pr>
          <w:rFonts w:ascii="Arial" w:hAnsi="Arial" w:cs="Arial"/>
          <w:b/>
          <w:sz w:val="24"/>
          <w:lang w:val="en-GB"/>
        </w:rPr>
        <w:t>R2-</w:t>
      </w:r>
      <w:r w:rsidR="00995BD5">
        <w:rPr>
          <w:rFonts w:ascii="Arial" w:hAnsi="Arial" w:cs="Arial"/>
          <w:b/>
          <w:sz w:val="24"/>
          <w:lang w:val="en-GB"/>
        </w:rPr>
        <w:t>1805965</w:t>
      </w:r>
    </w:p>
    <w:p w14:paraId="57673FA3" w14:textId="2918EF40" w:rsidR="00616831" w:rsidRPr="0049755C" w:rsidRDefault="00BF3B78" w:rsidP="004C1261">
      <w:pPr>
        <w:pStyle w:val="TdocHeader2"/>
        <w:tabs>
          <w:tab w:val="clear" w:pos="9072"/>
          <w:tab w:val="right" w:pos="9720"/>
        </w:tabs>
        <w:rPr>
          <w:rFonts w:eastAsia="Malgun Gothic" w:cs="Arial"/>
          <w:sz w:val="24"/>
          <w:lang w:val="en-US" w:eastAsia="ko-KR"/>
        </w:rPr>
      </w:pPr>
      <w:proofErr w:type="spellStart"/>
      <w:r>
        <w:rPr>
          <w:rFonts w:eastAsia="Malgun Gothic" w:cs="Arial"/>
          <w:sz w:val="24"/>
          <w:lang w:val="en-US" w:eastAsia="ko-KR"/>
        </w:rPr>
        <w:t>Sanya</w:t>
      </w:r>
      <w:proofErr w:type="spellEnd"/>
      <w:r>
        <w:rPr>
          <w:rFonts w:eastAsia="Malgun Gothic" w:cs="Arial"/>
          <w:sz w:val="24"/>
          <w:lang w:val="en-US" w:eastAsia="ko-KR"/>
        </w:rPr>
        <w:t>, China, 16</w:t>
      </w:r>
      <w:r w:rsidRPr="006C7F70">
        <w:rPr>
          <w:rFonts w:eastAsia="Malgun Gothic" w:cs="Arial"/>
          <w:sz w:val="24"/>
          <w:vertAlign w:val="superscript"/>
          <w:lang w:val="en-US" w:eastAsia="ko-KR"/>
        </w:rPr>
        <w:t>th</w:t>
      </w:r>
      <w:r>
        <w:rPr>
          <w:rFonts w:eastAsia="Malgun Gothic" w:cs="Arial"/>
          <w:sz w:val="24"/>
          <w:lang w:val="en-US" w:eastAsia="ko-KR"/>
        </w:rPr>
        <w:t xml:space="preserve"> April – 20th April</w:t>
      </w:r>
      <w:r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bookmarkStart w:id="2" w:name="_GoBack"/>
      <w:bookmarkEnd w:id="2"/>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4E4CAA88"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1C6312" w:rsidRPr="001C6312">
        <w:rPr>
          <w:sz w:val="24"/>
        </w:rPr>
        <w:t>Dis</w:t>
      </w:r>
      <w:r w:rsidR="001C6312">
        <w:rPr>
          <w:sz w:val="24"/>
        </w:rPr>
        <w:t>covery and Topology Management P</w:t>
      </w:r>
      <w:r w:rsidR="001C6312" w:rsidRPr="001C6312">
        <w:rPr>
          <w:sz w:val="24"/>
        </w:rPr>
        <w:t>rocedures for IAB</w:t>
      </w:r>
    </w:p>
    <w:p w14:paraId="08AD6C06" w14:textId="5438FD48" w:rsidR="00D52BF3" w:rsidRPr="00B208AD" w:rsidRDefault="00D52BF3" w:rsidP="00700F24">
      <w:pPr>
        <w:pStyle w:val="TdocHeader2"/>
        <w:spacing w:after="120"/>
        <w:rPr>
          <w:sz w:val="24"/>
        </w:rPr>
      </w:pPr>
      <w:r w:rsidRPr="00B208AD">
        <w:rPr>
          <w:sz w:val="24"/>
        </w:rPr>
        <w:t>Agenda Item:</w:t>
      </w:r>
      <w:r w:rsidRPr="00B208AD">
        <w:rPr>
          <w:sz w:val="24"/>
        </w:rPr>
        <w:tab/>
      </w:r>
      <w:r w:rsidR="00BF3B78">
        <w:rPr>
          <w:bCs/>
          <w:iCs/>
          <w:sz w:val="24"/>
        </w:rPr>
        <w:t>11.1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6D4A4C22" w:rsidR="006F1AB8" w:rsidRDefault="00C528CF" w:rsidP="00C26A7D">
      <w:pPr>
        <w:pStyle w:val="Heading1"/>
      </w:pPr>
      <w:r>
        <w:t xml:space="preserve">IAB </w:t>
      </w:r>
      <w:r w:rsidR="00AD273C">
        <w:t>Node Discovery</w:t>
      </w:r>
      <w:r w:rsidR="00C906C3">
        <w:t xml:space="preserve"> and Topology/Route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Topology management includes the following characteristics: 1) happens on long time scales, 2) manages static hop order, 3) handles initial access of relay nodes, and 4) changes every time a node is added or removed. On the other </w:t>
      </w:r>
      <w:proofErr w:type="gramStart"/>
      <w:r w:rsidRPr="008226E4">
        <w:rPr>
          <w:rFonts w:asciiTheme="minorHAnsi" w:eastAsia="SimSun" w:hAnsiTheme="minorHAnsi"/>
          <w:sz w:val="22"/>
          <w:szCs w:val="20"/>
          <w:lang w:val="en-GB"/>
        </w:rPr>
        <w:t>hand</w:t>
      </w:r>
      <w:proofErr w:type="gramEnd"/>
      <w:r w:rsidRPr="008226E4">
        <w:rPr>
          <w:rFonts w:asciiTheme="minorHAnsi" w:eastAsia="SimSun" w:hAnsiTheme="minorHAnsi"/>
          <w:sz w:val="22"/>
          <w:szCs w:val="20"/>
          <w:lang w:val="en-GB"/>
        </w:rPr>
        <w:t xml:space="preserve"> route management happens at a much faster time scale (e.g. happens over 10s or 100s of </w:t>
      </w:r>
      <w:proofErr w:type="spellStart"/>
      <w:r w:rsidRPr="008226E4">
        <w:rPr>
          <w:rFonts w:asciiTheme="minorHAnsi" w:eastAsia="SimSun" w:hAnsiTheme="minorHAnsi"/>
          <w:sz w:val="22"/>
          <w:szCs w:val="20"/>
          <w:lang w:val="en-GB"/>
        </w:rPr>
        <w:t>ms</w:t>
      </w:r>
      <w:proofErr w:type="spellEnd"/>
      <w:r w:rsidRPr="008226E4">
        <w:rPr>
          <w:rFonts w:asciiTheme="minorHAnsi" w:eastAsia="SimSun" w:hAnsiTheme="minorHAnsi"/>
          <w:sz w:val="22"/>
          <w:szCs w:val="20"/>
          <w:lang w:val="en-GB"/>
        </w:rPr>
        <w:t>)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3D04645F" w14:textId="6C8B72F7" w:rsidR="00C906C3" w:rsidRDefault="00C906C3" w:rsidP="00C906C3">
      <w:pPr>
        <w:pStyle w:val="Heading2"/>
      </w:pPr>
      <w:r>
        <w:t>IAB Node Discovery</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Besides supporting synchronization and cell discovery for links between </w:t>
      </w:r>
      <w:proofErr w:type="spellStart"/>
      <w:r w:rsidRPr="00AD273C">
        <w:rPr>
          <w:rFonts w:asciiTheme="minorHAnsi" w:eastAsia="SimSun" w:hAnsiTheme="minorHAnsi"/>
          <w:sz w:val="22"/>
          <w:szCs w:val="20"/>
          <w:lang w:val="en-GB"/>
        </w:rPr>
        <w:t>gNBs</w:t>
      </w:r>
      <w:proofErr w:type="spellEnd"/>
      <w:r w:rsidRPr="00AD273C">
        <w:rPr>
          <w:rFonts w:asciiTheme="minorHAnsi" w:eastAsia="SimSun" w:hAnsiTheme="minorHAnsi"/>
          <w:sz w:val="22"/>
          <w:szCs w:val="20"/>
          <w:lang w:val="en-GB"/>
        </w:rPr>
        <w:t xml:space="preserve">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AA32A1" w:rsidRDefault="00A64511" w:rsidP="00DC203E">
      <w:pPr>
        <w:pStyle w:val="maintext"/>
        <w:numPr>
          <w:ilvl w:val="0"/>
          <w:numId w:val="5"/>
        </w:numPr>
        <w:ind w:firstLine="440"/>
        <w:rPr>
          <w:rFonts w:eastAsia="Times New Roman" w:cs="Times New Roman"/>
          <w:lang w:eastAsia="en-US"/>
        </w:rPr>
      </w:pPr>
      <w:r w:rsidRPr="00AA32A1">
        <w:rPr>
          <w:rFonts w:eastAsia="Times New Roman" w:cs="Times New Roman"/>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AA45A3D" w14:textId="025357AC" w:rsidR="0024488E"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 for performing initial access, link management (e.g. RRM/RLM), 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For example, each IAB node could be considered to have both DU functionality as well as UE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The relay UE is connected to a donor </w:t>
      </w:r>
      <w:proofErr w:type="spellStart"/>
      <w:r w:rsidR="0024488E">
        <w:rPr>
          <w:rFonts w:asciiTheme="minorHAnsi" w:eastAsia="SimSun" w:hAnsiTheme="minorHAnsi"/>
          <w:sz w:val="22"/>
          <w:szCs w:val="20"/>
          <w:lang w:val="en-GB"/>
        </w:rPr>
        <w:t>gNB</w:t>
      </w:r>
      <w:proofErr w:type="spellEnd"/>
      <w:r w:rsidR="0024488E">
        <w:rPr>
          <w:rFonts w:asciiTheme="minorHAnsi" w:eastAsia="SimSun" w:hAnsiTheme="minorHAnsi"/>
          <w:sz w:val="22"/>
          <w:szCs w:val="20"/>
          <w:lang w:val="en-GB"/>
        </w:rPr>
        <w:t xml:space="preserve"> or DU of a higher hop order, while the relay DU serves relay UEs inside IAB nodes of lower hop orders or its own access UEs. As part of initial connection </w:t>
      </w:r>
      <w:proofErr w:type="gramStart"/>
      <w:r w:rsidR="00052933">
        <w:rPr>
          <w:rFonts w:asciiTheme="minorHAnsi" w:eastAsia="SimSun" w:hAnsiTheme="minorHAnsi"/>
          <w:sz w:val="22"/>
          <w:szCs w:val="20"/>
          <w:lang w:val="en-GB"/>
        </w:rPr>
        <w:t>establishment</w:t>
      </w:r>
      <w:proofErr w:type="gramEnd"/>
      <w:r w:rsidR="0024488E">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e that a relay UE corresponds to a given IAB node and is not a normal access UE. This would then allow the network to begin the provisioning and setup of the relay DU and incorporate the relay into the backhaul network topology and set up routing functionality as well.</w:t>
      </w:r>
    </w:p>
    <w:p w14:paraId="501D806F" w14:textId="723697E9" w:rsidR="0024488E" w:rsidRDefault="0024488E" w:rsidP="00A32002">
      <w:pPr>
        <w:pStyle w:val="BodyText"/>
        <w:jc w:val="center"/>
        <w:rPr>
          <w:rFonts w:asciiTheme="minorHAnsi" w:eastAsia="SimSun" w:hAnsiTheme="minorHAnsi"/>
          <w:sz w:val="22"/>
          <w:szCs w:val="20"/>
          <w:lang w:val="en-GB"/>
        </w:rPr>
      </w:pPr>
      <w:r>
        <w:rPr>
          <w:rFonts w:asciiTheme="minorHAnsi" w:eastAsia="SimSun" w:hAnsiTheme="minorHAnsi"/>
          <w:noProof/>
          <w:sz w:val="22"/>
          <w:szCs w:val="20"/>
        </w:rPr>
        <w:lastRenderedPageBreak/>
        <w:drawing>
          <wp:inline distT="0" distB="0" distL="0" distR="0" wp14:anchorId="0B6F6BEA" wp14:editId="76A927B0">
            <wp:extent cx="3733800" cy="27451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954" cy="2768824"/>
                    </a:xfrm>
                    <a:prstGeom prst="rect">
                      <a:avLst/>
                    </a:prstGeom>
                    <a:noFill/>
                  </pic:spPr>
                </pic:pic>
              </a:graphicData>
            </a:graphic>
          </wp:inline>
        </w:drawing>
      </w:r>
    </w:p>
    <w:p w14:paraId="1922A9A4" w14:textId="77777777" w:rsidR="0024488E" w:rsidRDefault="0024488E" w:rsidP="0024488E">
      <w:pPr>
        <w:jc w:val="center"/>
        <w:rPr>
          <w:rFonts w:cs="Arial"/>
          <w:b/>
          <w:bCs/>
          <w:color w:val="000000" w:themeColor="text1"/>
        </w:rPr>
      </w:pPr>
      <w:r>
        <w:rPr>
          <w:rFonts w:cs="Arial"/>
          <w:b/>
          <w:bCs/>
          <w:color w:val="000000" w:themeColor="text1"/>
        </w:rPr>
        <w:t>Figure 3: Support for UE mobility in an IAB Scenario</w:t>
      </w:r>
    </w:p>
    <w:p w14:paraId="1DDF1174" w14:textId="77777777" w:rsidR="0024488E" w:rsidRDefault="0024488E" w:rsidP="00A32002">
      <w:pPr>
        <w:pStyle w:val="BodyText"/>
        <w:jc w:val="center"/>
        <w:rPr>
          <w:rFonts w:asciiTheme="minorHAnsi" w:eastAsia="SimSun" w:hAnsiTheme="minorHAnsi"/>
          <w:sz w:val="22"/>
          <w:szCs w:val="20"/>
          <w:lang w:val="en-GB"/>
        </w:rPr>
      </w:pPr>
    </w:p>
    <w:p w14:paraId="1C7CDED7" w14:textId="01B312EE" w:rsidR="00A64511" w:rsidRPr="00AD273C"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The details of th</w:t>
      </w:r>
      <w:r w:rsidR="0024488E">
        <w:rPr>
          <w:rFonts w:asciiTheme="minorHAnsi" w:eastAsia="SimSun" w:hAnsiTheme="minorHAnsi"/>
          <w:sz w:val="22"/>
          <w:szCs w:val="20"/>
          <w:lang w:val="en-GB"/>
        </w:rPr>
        <w:t>e protocol stack and architecture are discussed in [2] and further details of the physical and higher layer design should be discussed in RAN1/2</w:t>
      </w:r>
      <w:r>
        <w:rPr>
          <w:rFonts w:asciiTheme="minorHAnsi" w:eastAsia="SimSun" w:hAnsiTheme="minorHAnsi"/>
          <w:sz w:val="22"/>
          <w:szCs w:val="20"/>
          <w:lang w:val="en-GB"/>
        </w:rPr>
        <w:t>, however it is critical that the RAN architecture options for IAB are also designed in a way that that reuse of existing specifications can be maximized as much as possible when appropriate.</w:t>
      </w:r>
    </w:p>
    <w:p w14:paraId="7D7D97B9" w14:textId="3A925617"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305AE0">
        <w:rPr>
          <w:rFonts w:ascii="Calibri" w:hAnsi="Calibri"/>
          <w:b/>
          <w:lang w:val="en-US"/>
        </w:rPr>
        <w:t xml:space="preserve">The </w:t>
      </w:r>
      <w:r>
        <w:rPr>
          <w:rFonts w:ascii="Calibri" w:hAnsi="Calibri"/>
          <w:b/>
          <w:lang w:val="en-US"/>
        </w:rPr>
        <w:t>IAB design should study mechanisms for</w:t>
      </w:r>
      <w:r w:rsidRPr="00834BA1">
        <w:rPr>
          <w:rFonts w:ascii="Calibri" w:hAnsi="Calibri"/>
          <w:b/>
          <w:lang w:val="en-US"/>
        </w:rPr>
        <w:t xml:space="preserve"> initial access</w:t>
      </w:r>
      <w:r>
        <w:rPr>
          <w:rFonts w:ascii="Calibri" w:hAnsi="Calibri"/>
          <w:b/>
          <w:lang w:val="en-US"/>
        </w:rPr>
        <w:t xml:space="preserve"> and link management (e.g. </w:t>
      </w:r>
      <w:r w:rsidRPr="00834BA1">
        <w:rPr>
          <w:rFonts w:ascii="Calibri" w:hAnsi="Calibri"/>
          <w:b/>
          <w:lang w:val="en-US"/>
        </w:rPr>
        <w:t>RRM</w:t>
      </w:r>
      <w:r>
        <w:rPr>
          <w:rFonts w:ascii="Calibri" w:hAnsi="Calibri"/>
          <w:b/>
          <w:lang w:val="en-US"/>
        </w:rPr>
        <w:t>/RLM) and basic connection establishment/reconfiguration based on existing procedures and signaling.</w:t>
      </w:r>
      <w:r w:rsidRPr="00834BA1">
        <w:rPr>
          <w:rFonts w:ascii="Calibri" w:hAnsi="Calibri"/>
          <w:b/>
          <w:lang w:val="en-US"/>
        </w:rPr>
        <w:t xml:space="preserve"> </w:t>
      </w:r>
    </w:p>
    <w:p w14:paraId="1BC20CA2" w14:textId="77777777" w:rsidR="00A64511" w:rsidRPr="00A64511" w:rsidRDefault="00A64511" w:rsidP="00A64511">
      <w:pPr>
        <w:rPr>
          <w:lang w:val="en-GB"/>
        </w:rPr>
      </w:pPr>
    </w:p>
    <w:p w14:paraId="79808DC0" w14:textId="52B9CD43" w:rsidR="00C906C3" w:rsidRDefault="00C906C3" w:rsidP="00C906C3">
      <w:pPr>
        <w:pStyle w:val="Heading2"/>
      </w:pPr>
      <w:r>
        <w:t>IAB Topology Management</w:t>
      </w:r>
    </w:p>
    <w:p w14:paraId="4C9976C6" w14:textId="77777777" w:rsidR="00004550" w:rsidRDefault="00004550">
      <w:pPr>
        <w:jc w:val="both"/>
        <w:rPr>
          <w:lang w:val="en-GB"/>
        </w:rPr>
      </w:pPr>
      <w:r w:rsidRPr="00F13188">
        <w:rPr>
          <w:lang w:val="en-GB"/>
        </w:rPr>
        <w:t xml:space="preserve">For densely deployed mmWave NR systems, the area covered by an NR node can be quite small, so a dense deployment of NR nodes </w:t>
      </w:r>
      <w:proofErr w:type="gramStart"/>
      <w:r w:rsidRPr="00F13188">
        <w:rPr>
          <w:lang w:val="en-GB"/>
        </w:rPr>
        <w:t>in a given</w:t>
      </w:r>
      <w:proofErr w:type="gramEnd"/>
      <w:r w:rsidRPr="00F13188">
        <w:rPr>
          <w:lang w:val="en-GB"/>
        </w:rPr>
        <w:t xml:space="preserve"> area could require a significantly larger number of deployment sites. There is considerable interest in being able to deploy NR nodes without </w:t>
      </w:r>
      <w:proofErr w:type="spellStart"/>
      <w:r w:rsidRPr="00F13188">
        <w:rPr>
          <w:lang w:val="en-GB"/>
        </w:rPr>
        <w:t>fiber</w:t>
      </w:r>
      <w:proofErr w:type="spellEnd"/>
      <w:r w:rsidRPr="00F13188">
        <w:rPr>
          <w:lang w:val="en-GB"/>
        </w:rPr>
        <w:t xml:space="preserve"> access to every deployment site. Due to large available bandwidths in mmWave spectrum bands, and the ability to deploy narrow beams using multi-antenna element arrays, it may be more feasible to support self-backhauled links for NR systems operating in mmWave spectrum.</w:t>
      </w:r>
    </w:p>
    <w:p w14:paraId="366E5C6D" w14:textId="1B4F1AC6" w:rsidR="00004550" w:rsidRPr="00F13188" w:rsidRDefault="00004550" w:rsidP="00A32002">
      <w:pPr>
        <w:jc w:val="both"/>
        <w:rPr>
          <w:lang w:val="en-GB"/>
        </w:rPr>
      </w:pPr>
      <w:r w:rsidRPr="00A32002">
        <w:rPr>
          <w:lang w:val="en-GB"/>
        </w:rPr>
        <w:t xml:space="preserve">For NR, the </w:t>
      </w:r>
      <w:proofErr w:type="spellStart"/>
      <w:r w:rsidRPr="00A32002">
        <w:rPr>
          <w:lang w:val="en-GB"/>
        </w:rPr>
        <w:t>gNB</w:t>
      </w:r>
      <w:proofErr w:type="spellEnd"/>
      <w:r w:rsidRPr="00A32002">
        <w:rPr>
          <w:lang w:val="en-GB"/>
        </w:rPr>
        <w:t xml:space="preserve"> may be functionally split between a centralised PDCP/RRC (</w:t>
      </w:r>
      <w:proofErr w:type="spellStart"/>
      <w:r w:rsidRPr="00A32002">
        <w:rPr>
          <w:lang w:val="en-GB"/>
        </w:rPr>
        <w:t>gNB</w:t>
      </w:r>
      <w:proofErr w:type="spellEnd"/>
      <w:r w:rsidRPr="00A32002">
        <w:rPr>
          <w:lang w:val="en-GB"/>
        </w:rPr>
        <w:t>-CU) and decentralised RLC/MAC/PHY (</w:t>
      </w:r>
      <w:proofErr w:type="spellStart"/>
      <w:r w:rsidRPr="00A32002">
        <w:rPr>
          <w:lang w:val="en-GB"/>
        </w:rPr>
        <w:t>gNB</w:t>
      </w:r>
      <w:proofErr w:type="spellEnd"/>
      <w:r w:rsidRPr="00A32002">
        <w:rPr>
          <w:lang w:val="en-GB"/>
        </w:rPr>
        <w:t xml:space="preserve">-DU) and this may be extended to IAB nodes as well [2]. A new interface between </w:t>
      </w:r>
      <w:proofErr w:type="spellStart"/>
      <w:r w:rsidRPr="00A32002">
        <w:rPr>
          <w:lang w:val="en-GB"/>
        </w:rPr>
        <w:t>gNB</w:t>
      </w:r>
      <w:proofErr w:type="spellEnd"/>
      <w:r w:rsidRPr="00A32002">
        <w:rPr>
          <w:lang w:val="en-GB"/>
        </w:rPr>
        <w:t xml:space="preserve">-CU and </w:t>
      </w:r>
      <w:proofErr w:type="spellStart"/>
      <w:r w:rsidRPr="00A32002">
        <w:rPr>
          <w:lang w:val="en-GB"/>
        </w:rPr>
        <w:t>gNB</w:t>
      </w:r>
      <w:proofErr w:type="spellEnd"/>
      <w:r w:rsidRPr="00A32002">
        <w:rPr>
          <w:lang w:val="en-GB"/>
        </w:rPr>
        <w:t xml:space="preserve">-DU, called F1, is being specified by RAN3. </w:t>
      </w:r>
      <w:r>
        <w:rPr>
          <w:lang w:val="en-GB"/>
        </w:rPr>
        <w:t xml:space="preserve">Figure </w:t>
      </w:r>
      <w:r w:rsidR="00171424">
        <w:rPr>
          <w:lang w:val="en-GB"/>
        </w:rPr>
        <w:t xml:space="preserve">4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 xml:space="preserve">to DU1, which has </w:t>
      </w:r>
      <w:proofErr w:type="spellStart"/>
      <w:r w:rsidRPr="00F13188">
        <w:rPr>
          <w:lang w:val="en-GB"/>
        </w:rPr>
        <w:t>fiber</w:t>
      </w:r>
      <w:proofErr w:type="spellEnd"/>
      <w:r w:rsidRPr="00F13188">
        <w:rPr>
          <w:lang w:val="en-GB"/>
        </w:rPr>
        <w:t xml:space="preserve"> access to th</w:t>
      </w:r>
      <w:r>
        <w:rPr>
          <w:lang w:val="en-GB"/>
        </w:rPr>
        <w:t xml:space="preserve">e CU. In such a scenario, when the yellow highlighted UE moves from DU2 to DU3 to DU4, if intra-frequency dual connectivity or multi-connectivity is enabled for the UE, it could significantly help in reduction of UP interruption time to achieve mobility with close to zero </w:t>
      </w:r>
      <w:proofErr w:type="spellStart"/>
      <w:r>
        <w:rPr>
          <w:lang w:val="en-GB"/>
        </w:rPr>
        <w:t>ms</w:t>
      </w:r>
      <w:proofErr w:type="spellEnd"/>
      <w:r>
        <w:rPr>
          <w:lang w:val="en-GB"/>
        </w:rPr>
        <w:t xml:space="preserve"> UP interruption.</w:t>
      </w:r>
    </w:p>
    <w:p w14:paraId="42DC9AEA" w14:textId="77777777" w:rsidR="00004550" w:rsidRDefault="00004550" w:rsidP="00004550">
      <w:pPr>
        <w:jc w:val="center"/>
        <w:rPr>
          <w:rFonts w:eastAsiaTheme="minorHAnsi" w:cs="Arial"/>
          <w:color w:val="000000" w:themeColor="text1"/>
        </w:rPr>
      </w:pPr>
      <w:r w:rsidRPr="00F13188">
        <w:rPr>
          <w:rFonts w:ascii="Calibri" w:hAnsi="Calibri" w:cs="Arial"/>
          <w:lang w:val="en-GB"/>
        </w:rPr>
        <w:lastRenderedPageBreak/>
        <w:t xml:space="preserve"> </w:t>
      </w:r>
      <w:r>
        <w:rPr>
          <w:rFonts w:ascii="Calibri" w:hAnsi="Calibri" w:cs="Arial"/>
          <w:noProof/>
        </w:rPr>
        <w:drawing>
          <wp:inline distT="0" distB="0" distL="0" distR="0" wp14:anchorId="4425935E" wp14:editId="62F87AFD">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242FCA44" w14:textId="4B829EDA" w:rsidR="00004550" w:rsidRDefault="00004550" w:rsidP="00A32002">
      <w:pPr>
        <w:spacing w:after="0"/>
        <w:jc w:val="center"/>
        <w:rPr>
          <w:rFonts w:cs="Arial"/>
          <w:b/>
          <w:bCs/>
          <w:color w:val="000000" w:themeColor="text1"/>
        </w:rPr>
      </w:pPr>
      <w:r>
        <w:rPr>
          <w:rFonts w:cs="Arial"/>
          <w:b/>
          <w:bCs/>
          <w:color w:val="000000" w:themeColor="text1"/>
        </w:rPr>
        <w:t xml:space="preserve">Figure </w:t>
      </w:r>
      <w:r w:rsidR="00171424">
        <w:rPr>
          <w:rFonts w:cs="Arial"/>
          <w:b/>
          <w:bCs/>
          <w:color w:val="000000" w:themeColor="text1"/>
        </w:rPr>
        <w:t>4</w:t>
      </w:r>
      <w:r>
        <w:rPr>
          <w:rFonts w:cs="Arial"/>
          <w:b/>
          <w:bCs/>
          <w:color w:val="000000" w:themeColor="text1"/>
        </w:rPr>
        <w:t>: Support for UE mobility in an IAB Scenario</w:t>
      </w:r>
    </w:p>
    <w:p w14:paraId="18204C92" w14:textId="77777777" w:rsidR="00004550" w:rsidRDefault="00004550" w:rsidP="00004550">
      <w:pPr>
        <w:pStyle w:val="paragraph"/>
        <w:spacing w:before="0" w:beforeAutospacing="0" w:after="0" w:afterAutospacing="0"/>
        <w:textAlignment w:val="baseline"/>
        <w:rPr>
          <w:rFonts w:asciiTheme="minorHAnsi" w:eastAsia="SimSun" w:hAnsiTheme="minorHAnsi"/>
          <w:b/>
          <w:sz w:val="22"/>
          <w:szCs w:val="20"/>
        </w:rPr>
      </w:pPr>
    </w:p>
    <w:p w14:paraId="586F6293" w14:textId="77777777" w:rsidR="00004550" w:rsidRPr="00004550" w:rsidRDefault="00004550" w:rsidP="00004550">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06E17916" w14:textId="77777777" w:rsidR="00004550" w:rsidRDefault="00004550" w:rsidP="00A32002">
      <w:pPr>
        <w:pStyle w:val="BodyText"/>
        <w:spacing w:after="0"/>
        <w:rPr>
          <w:rFonts w:asciiTheme="minorHAnsi" w:eastAsia="SimSun" w:hAnsiTheme="minorHAnsi"/>
          <w:sz w:val="22"/>
          <w:szCs w:val="20"/>
          <w:lang w:val="en-GB"/>
        </w:rPr>
      </w:pPr>
    </w:p>
    <w:p w14:paraId="39D2CDB8" w14:textId="2A02B03D" w:rsidR="00A64511" w:rsidRPr="00C76C87" w:rsidRDefault="00A64511" w:rsidP="00A64511">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As a result, multi-connectivity is a critical feature to support robustness and fast route selection in case of blockage events especially in mmWave bands as shown in Figure </w:t>
      </w:r>
      <w:r w:rsidR="0024488E">
        <w:rPr>
          <w:rFonts w:asciiTheme="minorHAnsi" w:eastAsia="SimSun" w:hAnsiTheme="minorHAnsi"/>
          <w:sz w:val="22"/>
          <w:szCs w:val="20"/>
          <w:lang w:val="en-GB"/>
        </w:rPr>
        <w:t>5</w:t>
      </w:r>
      <w:r w:rsidRPr="008226E4">
        <w:rPr>
          <w:rFonts w:asciiTheme="minorHAnsi" w:eastAsia="SimSun" w:hAnsiTheme="minorHAnsi"/>
          <w:sz w:val="22"/>
          <w:szCs w:val="20"/>
          <w:lang w:val="en-GB"/>
        </w:rPr>
        <w:t>.</w:t>
      </w:r>
      <w:r w:rsidRPr="00E725D9">
        <w:rPr>
          <w:rFonts w:asciiTheme="minorHAnsi" w:eastAsia="SimSun" w:hAnsiTheme="minorHAnsi"/>
          <w:sz w:val="22"/>
          <w:szCs w:val="20"/>
          <w:lang w:val="en-GB"/>
        </w:rPr>
        <w:t xml:space="preserve"> </w:t>
      </w:r>
      <w:r w:rsidRPr="00C76C87">
        <w:rPr>
          <w:rFonts w:asciiTheme="minorHAnsi" w:eastAsia="SimSun" w:hAnsiTheme="minorHAnsi"/>
          <w:sz w:val="22"/>
          <w:szCs w:val="20"/>
          <w:lang w:val="en-GB"/>
        </w:rPr>
        <w:t xml:space="preserve">It is </w:t>
      </w:r>
      <w:r>
        <w:rPr>
          <w:rFonts w:asciiTheme="minorHAnsi" w:eastAsia="SimSun" w:hAnsiTheme="minorHAnsi"/>
          <w:sz w:val="22"/>
          <w:szCs w:val="20"/>
          <w:lang w:val="en-GB"/>
        </w:rPr>
        <w:t xml:space="preserve">noted that </w:t>
      </w:r>
      <w:r w:rsidRPr="00C76C87">
        <w:rPr>
          <w:rFonts w:asciiTheme="minorHAnsi" w:eastAsia="SimSun" w:hAnsiTheme="minorHAnsi"/>
          <w:sz w:val="22"/>
          <w:szCs w:val="20"/>
          <w:lang w:val="en-GB"/>
        </w:rPr>
        <w:t>route</w:t>
      </w:r>
      <w:r>
        <w:rPr>
          <w:rFonts w:asciiTheme="minorHAnsi" w:eastAsia="SimSun" w:hAnsiTheme="minorHAnsi"/>
          <w:sz w:val="22"/>
          <w:szCs w:val="20"/>
          <w:lang w:val="en-GB"/>
        </w:rPr>
        <w:t xml:space="preserve"> adaptation depends on </w:t>
      </w:r>
      <w:r w:rsidRPr="00C76C87">
        <w:rPr>
          <w:rFonts w:asciiTheme="minorHAnsi" w:eastAsia="SimSun" w:hAnsiTheme="minorHAnsi"/>
          <w:sz w:val="22"/>
          <w:szCs w:val="20"/>
          <w:lang w:val="en-GB"/>
        </w:rPr>
        <w:t>multiple</w:t>
      </w:r>
      <w:r>
        <w:rPr>
          <w:rFonts w:asciiTheme="minorHAnsi" w:eastAsia="SimSun" w:hAnsiTheme="minorHAnsi"/>
          <w:sz w:val="22"/>
          <w:szCs w:val="20"/>
          <w:lang w:val="en-GB"/>
        </w:rPr>
        <w:t xml:space="preserve"> factors </w:t>
      </w:r>
      <w:r w:rsidR="0024488E">
        <w:rPr>
          <w:rFonts w:asciiTheme="minorHAnsi" w:eastAsia="SimSun" w:hAnsiTheme="minorHAnsi"/>
          <w:sz w:val="22"/>
          <w:szCs w:val="20"/>
          <w:lang w:val="en-GB"/>
        </w:rPr>
        <w:t xml:space="preserve">such as </w:t>
      </w:r>
      <w:r>
        <w:rPr>
          <w:rFonts w:asciiTheme="minorHAnsi" w:eastAsia="SimSun" w:hAnsiTheme="minorHAnsi"/>
          <w:sz w:val="22"/>
          <w:szCs w:val="20"/>
          <w:lang w:val="en-GB"/>
        </w:rPr>
        <w:t>load</w:t>
      </w:r>
      <w:r w:rsidRPr="00C76C87">
        <w:rPr>
          <w:rFonts w:asciiTheme="minorHAnsi" w:eastAsia="SimSun" w:hAnsiTheme="minorHAnsi"/>
          <w:sz w:val="22"/>
          <w:szCs w:val="20"/>
          <w:lang w:val="en-GB"/>
        </w:rPr>
        <w:t xml:space="preserve"> and propagation variations (e.g. blockage events)</w:t>
      </w:r>
      <w:r w:rsidR="00004550">
        <w:rPr>
          <w:rFonts w:asciiTheme="minorHAnsi" w:eastAsia="SimSun" w:hAnsiTheme="minorHAnsi"/>
          <w:sz w:val="22"/>
          <w:szCs w:val="20"/>
          <w:lang w:val="en-GB"/>
        </w:rPr>
        <w:t xml:space="preserve"> </w:t>
      </w:r>
      <w:r w:rsidR="0024488E">
        <w:rPr>
          <w:rFonts w:asciiTheme="minorHAnsi" w:eastAsia="SimSun" w:hAnsiTheme="minorHAnsi"/>
          <w:sz w:val="22"/>
          <w:szCs w:val="20"/>
          <w:lang w:val="en-GB"/>
        </w:rPr>
        <w:t>discussed</w:t>
      </w:r>
      <w:r w:rsidR="00004550">
        <w:rPr>
          <w:rFonts w:asciiTheme="minorHAnsi" w:eastAsia="SimSun" w:hAnsiTheme="minorHAnsi"/>
          <w:sz w:val="22"/>
          <w:szCs w:val="20"/>
          <w:lang w:val="en-GB"/>
        </w:rPr>
        <w:t xml:space="preserve"> in the </w:t>
      </w:r>
      <w:r w:rsidR="0024488E">
        <w:rPr>
          <w:rFonts w:asciiTheme="minorHAnsi" w:eastAsia="SimSun" w:hAnsiTheme="minorHAnsi"/>
          <w:sz w:val="22"/>
          <w:szCs w:val="20"/>
          <w:lang w:val="en-GB"/>
        </w:rPr>
        <w:t xml:space="preserve">next </w:t>
      </w:r>
      <w:r w:rsidR="00004550">
        <w:rPr>
          <w:rFonts w:asciiTheme="minorHAnsi" w:eastAsia="SimSun" w:hAnsiTheme="minorHAnsi"/>
          <w:sz w:val="22"/>
          <w:szCs w:val="20"/>
          <w:lang w:val="en-GB"/>
        </w:rPr>
        <w:t>section</w:t>
      </w:r>
      <w:r w:rsidRPr="00C76C87">
        <w:rPr>
          <w:rFonts w:asciiTheme="minorHAnsi" w:eastAsia="SimSun" w:hAnsiTheme="minorHAnsi"/>
          <w:sz w:val="22"/>
          <w:szCs w:val="20"/>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5ECEA898"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24488E">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386249D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7D3917">
        <w:rPr>
          <w:rFonts w:asciiTheme="minorHAnsi" w:eastAsia="SimSun" w:hAnsiTheme="minorHAnsi"/>
          <w:b/>
          <w:sz w:val="22"/>
          <w:szCs w:val="20"/>
        </w:rPr>
        <w:t>4</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13A1095C" w14:textId="77777777" w:rsidR="00C906C3" w:rsidRDefault="00C906C3" w:rsidP="00C906C3">
      <w:pPr>
        <w:pStyle w:val="Heading2"/>
      </w:pPr>
      <w:r>
        <w:lastRenderedPageBreak/>
        <w:t>IAB Route Selection</w:t>
      </w:r>
    </w:p>
    <w:p w14:paraId="57E1D5F7" w14:textId="42EF767E" w:rsidR="007D3917" w:rsidRDefault="003F55AE" w:rsidP="00A32002">
      <w:pPr>
        <w:jc w:val="both"/>
      </w:pPr>
      <w:r>
        <w:t>At mmWave frequencies, the channel experienced by a UE may suffer from blockage events that could result in sudden sharp drops in signal strength (of the order of 30 dB) due to physical objects blocking the UE-TRP link</w:t>
      </w:r>
      <w:r w:rsidR="003320E0">
        <w:t xml:space="preserve"> as shown in Figure </w:t>
      </w:r>
      <w:r w:rsidR="00171424">
        <w:t>6</w:t>
      </w:r>
      <w:r>
        <w:t>. It was shown in [</w:t>
      </w:r>
      <w:r w:rsidR="003320E0">
        <w:t>3</w:t>
      </w:r>
      <w:r>
        <w:t>] b</w:t>
      </w:r>
      <w:r>
        <w:rPr>
          <w:rFonts w:ascii="Calibri" w:hAnsi="Calibri"/>
        </w:rPr>
        <w:t>ased on Blockage Model A (</w:t>
      </w:r>
      <w:proofErr w:type="spellStart"/>
      <w:r>
        <w:rPr>
          <w:rFonts w:ascii="Calibri" w:hAnsi="Calibri"/>
        </w:rPr>
        <w:t>UMi</w:t>
      </w:r>
      <w:proofErr w:type="spellEnd"/>
      <w:r>
        <w:rPr>
          <w:rFonts w:ascii="Calibri" w:hAnsi="Calibri"/>
        </w:rPr>
        <w:t>) described in the NR channel model TR 38.900, that for a 30 km/</w:t>
      </w:r>
      <w:proofErr w:type="spellStart"/>
      <w:r>
        <w:rPr>
          <w:rFonts w:ascii="Calibri" w:hAnsi="Calibri"/>
        </w:rPr>
        <w:t>hr</w:t>
      </w:r>
      <w:proofErr w:type="spellEnd"/>
      <w:r>
        <w:rPr>
          <w:rFonts w:ascii="Calibri" w:hAnsi="Calibri"/>
        </w:rPr>
        <w:t xml:space="preserve"> blocker velocity, the mean blockage duration of a single blockage event is 600 </w:t>
      </w:r>
      <w:proofErr w:type="spellStart"/>
      <w:r>
        <w:rPr>
          <w:rFonts w:ascii="Calibri" w:hAnsi="Calibri"/>
        </w:rPr>
        <w:t>ms.</w:t>
      </w:r>
      <w:proofErr w:type="spellEnd"/>
      <w:r w:rsidRPr="0064482B">
        <w:t xml:space="preserve"> </w:t>
      </w:r>
    </w:p>
    <w:p w14:paraId="2AD0DFD6" w14:textId="0DDA3FC6" w:rsidR="003F55AE" w:rsidRDefault="003320E0" w:rsidP="00A32002">
      <w:pPr>
        <w:jc w:val="both"/>
      </w:pPr>
      <w:r>
        <w:t>It was also shown in [4</w:t>
      </w:r>
      <w:r w:rsidR="003F55AE">
        <w:t>] that when a UE could be served by beams from 3 TRPs, the mean duration between inter-TRP beam switches could be about 2.56 seconds. These estimates indicate that a UE could potentially experience frequent beam failure events due to blockage, potentially resulting in frequent beam switches.</w:t>
      </w:r>
    </w:p>
    <w:p w14:paraId="2A27EE95" w14:textId="77777777" w:rsidR="003F55AE" w:rsidRDefault="003F55AE" w:rsidP="003F55AE">
      <w:pPr>
        <w:jc w:val="center"/>
        <w:rPr>
          <w:rFonts w:ascii="Calibri" w:hAnsi="Calibri"/>
        </w:rPr>
      </w:pPr>
      <w:r>
        <w:rPr>
          <w:rFonts w:ascii="Calibri" w:hAnsi="Calibri"/>
          <w:noProof/>
        </w:rPr>
        <w:drawing>
          <wp:inline distT="0" distB="0" distL="0" distR="0" wp14:anchorId="4F071E3E" wp14:editId="5F20130D">
            <wp:extent cx="3306868" cy="25579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575" cy="2563924"/>
                    </a:xfrm>
                    <a:prstGeom prst="rect">
                      <a:avLst/>
                    </a:prstGeom>
                    <a:noFill/>
                  </pic:spPr>
                </pic:pic>
              </a:graphicData>
            </a:graphic>
          </wp:inline>
        </w:drawing>
      </w:r>
      <w:r>
        <w:rPr>
          <w:rFonts w:ascii="Calibri" w:hAnsi="Calibri"/>
        </w:rPr>
        <w:t>.</w:t>
      </w:r>
    </w:p>
    <w:p w14:paraId="58F89BCD" w14:textId="0C09F375" w:rsidR="003F55AE" w:rsidRPr="003F55AE" w:rsidRDefault="003F55AE" w:rsidP="003F55AE">
      <w:pPr>
        <w:pStyle w:val="maintext"/>
        <w:ind w:firstLineChars="0" w:firstLine="0"/>
        <w:jc w:val="center"/>
        <w:rPr>
          <w:rFonts w:ascii="Calibri" w:hAnsi="Calibri"/>
          <w:b/>
        </w:rPr>
      </w:pPr>
      <w:r w:rsidRPr="003F55AE">
        <w:rPr>
          <w:rFonts w:ascii="Calibri" w:hAnsi="Calibri"/>
          <w:b/>
        </w:rPr>
        <w:t xml:space="preserve">Figure </w:t>
      </w:r>
      <w:r w:rsidR="00171424">
        <w:rPr>
          <w:rFonts w:ascii="Calibri" w:hAnsi="Calibri"/>
          <w:b/>
        </w:rPr>
        <w:t>6</w:t>
      </w:r>
      <w:r w:rsidRPr="003F55AE">
        <w:rPr>
          <w:rFonts w:ascii="Calibri" w:hAnsi="Calibri"/>
          <w:b/>
        </w:rPr>
        <w:t xml:space="preserve">: NR deployment based on </w:t>
      </w:r>
      <w:proofErr w:type="spellStart"/>
      <w:r w:rsidRPr="003F55AE">
        <w:rPr>
          <w:rFonts w:ascii="Calibri" w:hAnsi="Calibri"/>
          <w:b/>
        </w:rPr>
        <w:t>gNB</w:t>
      </w:r>
      <w:proofErr w:type="spellEnd"/>
      <w:r w:rsidRPr="003F55AE">
        <w:rPr>
          <w:rFonts w:ascii="Calibri" w:hAnsi="Calibri"/>
          <w:b/>
        </w:rPr>
        <w:t xml:space="preserve"> UP functional split</w:t>
      </w:r>
    </w:p>
    <w:p w14:paraId="1D980B9F" w14:textId="71C58FAE" w:rsidR="003320E0" w:rsidRPr="00A32002" w:rsidRDefault="003320E0">
      <w:pPr>
        <w:pStyle w:val="BodyText"/>
        <w:rPr>
          <w:rFonts w:asciiTheme="minorHAnsi" w:eastAsia="SimSun" w:hAnsiTheme="minorHAnsi"/>
          <w:sz w:val="22"/>
          <w:szCs w:val="20"/>
        </w:rPr>
      </w:pPr>
      <w:r w:rsidRPr="00A32002">
        <w:rPr>
          <w:rFonts w:asciiTheme="minorHAnsi" w:eastAsia="SimSun" w:hAnsiTheme="minorHAnsi"/>
          <w:sz w:val="22"/>
          <w:szCs w:val="20"/>
        </w:rPr>
        <w:t xml:space="preserve">As a </w:t>
      </w:r>
      <w:proofErr w:type="gramStart"/>
      <w:r w:rsidRPr="00A32002">
        <w:rPr>
          <w:rFonts w:asciiTheme="minorHAnsi" w:eastAsia="SimSun" w:hAnsiTheme="minorHAnsi"/>
          <w:sz w:val="22"/>
          <w:szCs w:val="20"/>
        </w:rPr>
        <w:t>result</w:t>
      </w:r>
      <w:proofErr w:type="gramEnd"/>
      <w:r w:rsidRPr="00A32002">
        <w:rPr>
          <w:rFonts w:asciiTheme="minorHAnsi" w:eastAsia="SimSun" w:hAnsiTheme="minorHAnsi"/>
          <w:sz w:val="22"/>
          <w:szCs w:val="20"/>
        </w:rPr>
        <w:t xml:space="preserve"> another key IAB requirement is support for 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E5CCF2F" w:rsidR="003F55AE" w:rsidRDefault="003320E0" w:rsidP="00A32002">
      <w:pPr>
        <w:jc w:val="both"/>
      </w:pPr>
      <w:r>
        <w:t xml:space="preserve">For </w:t>
      </w:r>
      <w:proofErr w:type="gramStart"/>
      <w:r>
        <w:t>example</w:t>
      </w:r>
      <w:proofErr w:type="gramEnd"/>
      <w:r>
        <w:t xml:space="preserve"> d</w:t>
      </w:r>
      <w:r w:rsidR="003F55AE">
        <w:t xml:space="preserve">ynamically determining flow </w:t>
      </w:r>
      <w:r>
        <w:t>control mechanisms can be utilized to determine the routing of traffic across different links and u</w:t>
      </w:r>
      <w:r w:rsidR="003F55AE">
        <w:t xml:space="preserve">pon beam failure </w:t>
      </w:r>
      <w:r>
        <w:t xml:space="preserve">events </w:t>
      </w:r>
      <w:r w:rsidR="003F55AE">
        <w:t xml:space="preserve">as described above, </w:t>
      </w:r>
      <w:r>
        <w:t xml:space="preserve">utilization of </w:t>
      </w:r>
      <w:r w:rsidR="003F55AE">
        <w:t xml:space="preserve">fast centralized retransmissions of lost RLC PDUs </w:t>
      </w:r>
      <w:r>
        <w:t xml:space="preserve">which are supported by NR </w:t>
      </w:r>
      <w:r w:rsidR="003F55AE">
        <w:t xml:space="preserve">[6] may be performed </w:t>
      </w:r>
      <w:r>
        <w:t>across different multi-connectivity legs</w:t>
      </w:r>
      <w:r w:rsidR="003F55AE">
        <w:t xml:space="preserve"> to quickly recover from failed transmissions.</w:t>
      </w:r>
    </w:p>
    <w:p w14:paraId="26391385" w14:textId="031395F2"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 5</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lastRenderedPageBreak/>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E89E915" w14:textId="77777777" w:rsidR="007D3917" w:rsidRPr="007D3917" w:rsidRDefault="007D3917" w:rsidP="007D3917">
      <w:pPr>
        <w:pStyle w:val="BodyText"/>
        <w:rPr>
          <w:rFonts w:asciiTheme="minorHAnsi" w:eastAsia="SimSun" w:hAnsiTheme="minorHAnsi"/>
          <w:b/>
          <w:sz w:val="22"/>
          <w:szCs w:val="20"/>
          <w:lang w:val="en-GB"/>
        </w:rPr>
      </w:pPr>
      <w:r>
        <w:rPr>
          <w:rFonts w:ascii="Calibri" w:hAnsi="Calibri"/>
          <w:b/>
          <w:bCs/>
        </w:rPr>
        <w:t>Proposal 3</w:t>
      </w:r>
      <w:r w:rsidRPr="00834BA1">
        <w:rPr>
          <w:rFonts w:ascii="Calibri" w:eastAsia="Malgun Gothic" w:hAnsi="Calibri" w:cs="Batang"/>
          <w:szCs w:val="22"/>
          <w:lang w:eastAsia="ko-KR"/>
        </w:rPr>
        <w:t xml:space="preserve">: </w:t>
      </w:r>
      <w:r w:rsidRPr="007D3917">
        <w:rPr>
          <w:rFonts w:asciiTheme="minorHAnsi" w:eastAsia="SimSun" w:hAnsiTheme="minorHAnsi"/>
          <w:b/>
          <w:sz w:val="22"/>
          <w:szCs w:val="20"/>
          <w:lang w:val="en-GB"/>
        </w:rPr>
        <w:t xml:space="preserve">The IAB design should study mechanisms for initial access and link management (e.g. RRM/RLM) and basic connection establishment/reconfiguration based on existing procedures and </w:t>
      </w:r>
      <w:proofErr w:type="spellStart"/>
      <w:r w:rsidRPr="007D3917">
        <w:rPr>
          <w:rFonts w:asciiTheme="minorHAnsi" w:eastAsia="SimSun" w:hAnsiTheme="minorHAnsi"/>
          <w:b/>
          <w:sz w:val="22"/>
          <w:szCs w:val="20"/>
          <w:lang w:val="en-GB"/>
        </w:rPr>
        <w:t>signaling</w:t>
      </w:r>
      <w:proofErr w:type="spellEnd"/>
      <w:r w:rsidRPr="007D3917">
        <w:rPr>
          <w:rFonts w:asciiTheme="minorHAnsi" w:eastAsia="SimSun" w:hAnsiTheme="minorHAnsi"/>
          <w:b/>
          <w:sz w:val="22"/>
          <w:szCs w:val="20"/>
          <w:lang w:val="en-GB"/>
        </w:rPr>
        <w:t xml:space="preserve">. </w:t>
      </w:r>
    </w:p>
    <w:p w14:paraId="7BCB0A8C"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4: The IAB design should support mechanisms for multi-connectivity for topology and route management.</w:t>
      </w:r>
    </w:p>
    <w:p w14:paraId="481946B9"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5: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7E1747BD" w14:textId="726F78FD" w:rsidR="007D3917" w:rsidRPr="007D3917" w:rsidRDefault="007D3917" w:rsidP="00DC203E">
      <w:pPr>
        <w:pStyle w:val="2222"/>
        <w:numPr>
          <w:ilvl w:val="0"/>
          <w:numId w:val="3"/>
        </w:numPr>
        <w:spacing w:after="120" w:line="288" w:lineRule="auto"/>
        <w:ind w:left="360" w:firstLineChars="0"/>
        <w:jc w:val="left"/>
        <w:rPr>
          <w:rFonts w:cs="Times New Roman"/>
          <w:lang w:eastAsia="ko-KR"/>
        </w:rPr>
      </w:pPr>
      <w:r w:rsidRPr="007D3917">
        <w:rPr>
          <w:rFonts w:cs="Times New Roman"/>
          <w:lang w:eastAsia="ko-KR"/>
        </w:rPr>
        <w:t>R3-18</w:t>
      </w:r>
      <w:r w:rsidR="00E70EDB">
        <w:rPr>
          <w:rFonts w:cs="Times New Roman"/>
          <w:lang w:eastAsia="ko-KR"/>
        </w:rPr>
        <w:t>1345</w:t>
      </w:r>
      <w:r w:rsidRPr="007D3917">
        <w:rPr>
          <w:rFonts w:cs="Times New Roman"/>
          <w:lang w:eastAsia="ko-KR"/>
        </w:rPr>
        <w:t>, L2-based multi-hop architecture to support IAB architecture requirements</w:t>
      </w:r>
      <w:r>
        <w:rPr>
          <w:rFonts w:cs="Times New Roman"/>
          <w:lang w:eastAsia="ko-KR"/>
        </w:rPr>
        <w:t xml:space="preserve">, </w:t>
      </w:r>
      <w:r w:rsidRPr="007D3917">
        <w:rPr>
          <w:rFonts w:cs="Times New Roman"/>
          <w:lang w:eastAsia="ko-KR"/>
        </w:rPr>
        <w:t xml:space="preserve">AT&amp;T </w:t>
      </w:r>
    </w:p>
    <w:p w14:paraId="3122E47D" w14:textId="5E280C07" w:rsidR="007D3917" w:rsidRDefault="007D3917" w:rsidP="00DC203E">
      <w:pPr>
        <w:pStyle w:val="2222"/>
        <w:numPr>
          <w:ilvl w:val="0"/>
          <w:numId w:val="2"/>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w:t>
      </w:r>
      <w:r>
        <w:rPr>
          <w:rFonts w:eastAsia="Batang" w:cs="Times New Roman"/>
          <w:lang w:eastAsia="zh-CN"/>
        </w:rPr>
        <w:t>4487</w:t>
      </w:r>
      <w:r w:rsidRPr="00E278E8">
        <w:rPr>
          <w:rFonts w:eastAsia="Batang" w:cs="Times New Roman"/>
          <w:lang w:eastAsia="zh-CN"/>
        </w:rPr>
        <w:t>, Beam Failure (BF) and Radio Link Interruption (RLI), AT&amp;T</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3EA67" w14:textId="77777777" w:rsidR="001C3E1E" w:rsidRDefault="001C3E1E" w:rsidP="00A03DF3">
      <w:pPr>
        <w:spacing w:after="0"/>
      </w:pPr>
      <w:r>
        <w:separator/>
      </w:r>
    </w:p>
  </w:endnote>
  <w:endnote w:type="continuationSeparator" w:id="0">
    <w:p w14:paraId="66DB1095" w14:textId="77777777" w:rsidR="001C3E1E" w:rsidRDefault="001C3E1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2FFEBAA"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95BD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BD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98093" w14:textId="77777777" w:rsidR="001C3E1E" w:rsidRDefault="001C3E1E" w:rsidP="00A03DF3">
      <w:pPr>
        <w:spacing w:after="0"/>
      </w:pPr>
      <w:r>
        <w:separator/>
      </w:r>
    </w:p>
  </w:footnote>
  <w:footnote w:type="continuationSeparator" w:id="0">
    <w:p w14:paraId="3CD8F3A3" w14:textId="77777777" w:rsidR="001C3E1E" w:rsidRDefault="001C3E1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6211"/>
    <w:rsid w:val="00066D52"/>
    <w:rsid w:val="0007152D"/>
    <w:rsid w:val="00077445"/>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1CEE"/>
    <w:rsid w:val="001026C3"/>
    <w:rsid w:val="00104F96"/>
    <w:rsid w:val="00105963"/>
    <w:rsid w:val="00107EBD"/>
    <w:rsid w:val="00112BF4"/>
    <w:rsid w:val="00112D15"/>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3E1E"/>
    <w:rsid w:val="001C5C93"/>
    <w:rsid w:val="001C6312"/>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0A73"/>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5BD5"/>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4738"/>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3DD5"/>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3B78"/>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FB95-B37F-4418-8E5B-5A5359AE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1568</Words>
  <Characters>8942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6</cp:revision>
  <dcterms:created xsi:type="dcterms:W3CDTF">2018-04-05T02:51:00Z</dcterms:created>
  <dcterms:modified xsi:type="dcterms:W3CDTF">2018-04-06T03:37:00Z</dcterms:modified>
</cp:coreProperties>
</file>